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jc w:val="center"/>
        <w:rPr>
          <w:rFonts w:ascii="黑体" w:hAnsi="黑体" w:eastAsia="黑体" w:cs="Times New Roman"/>
          <w:sz w:val="28"/>
          <w:szCs w:val="28"/>
        </w:rPr>
      </w:pPr>
      <w:bookmarkStart w:id="0" w:name="_GoBack"/>
      <w:bookmarkEnd w:id="0"/>
    </w:p>
    <w:p>
      <w:pPr>
        <w:widowControl/>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项目</w:t>
      </w:r>
      <w:r>
        <w:rPr>
          <w:rFonts w:hint="eastAsia" w:ascii="方正小标宋简体" w:hAnsi="Times New Roman" w:eastAsia="方正小标宋简体" w:cs="方正小标宋简体"/>
          <w:sz w:val="36"/>
          <w:szCs w:val="36"/>
          <w:lang w:eastAsia="zh-CN"/>
        </w:rPr>
        <w:t>绩效目标</w:t>
      </w:r>
      <w:r>
        <w:rPr>
          <w:rFonts w:hint="eastAsia" w:ascii="方正小标宋简体" w:hAnsi="Times New Roman" w:eastAsia="方正小标宋简体" w:cs="方正小标宋简体"/>
          <w:sz w:val="36"/>
          <w:szCs w:val="36"/>
        </w:rPr>
        <w:t>申报表</w:t>
      </w:r>
    </w:p>
    <w:tbl>
      <w:tblPr>
        <w:tblStyle w:val="2"/>
        <w:tblW w:w="8948" w:type="dxa"/>
        <w:tblInd w:w="0" w:type="dxa"/>
        <w:tblLayout w:type="fixed"/>
        <w:tblCellMar>
          <w:top w:w="0" w:type="dxa"/>
          <w:left w:w="108" w:type="dxa"/>
          <w:bottom w:w="0" w:type="dxa"/>
          <w:right w:w="108" w:type="dxa"/>
        </w:tblCellMar>
      </w:tblPr>
      <w:tblGrid>
        <w:gridCol w:w="1227"/>
        <w:gridCol w:w="407"/>
        <w:gridCol w:w="923"/>
        <w:gridCol w:w="170"/>
        <w:gridCol w:w="30"/>
        <w:gridCol w:w="315"/>
        <w:gridCol w:w="539"/>
        <w:gridCol w:w="252"/>
        <w:gridCol w:w="6"/>
        <w:gridCol w:w="258"/>
        <w:gridCol w:w="266"/>
        <w:gridCol w:w="271"/>
        <w:gridCol w:w="59"/>
        <w:gridCol w:w="1011"/>
        <w:gridCol w:w="82"/>
        <w:gridCol w:w="1094"/>
        <w:gridCol w:w="334"/>
        <w:gridCol w:w="747"/>
        <w:gridCol w:w="957"/>
      </w:tblGrid>
      <w:tr>
        <w:tblPrEx>
          <w:tblCellMar>
            <w:top w:w="0" w:type="dxa"/>
            <w:left w:w="108" w:type="dxa"/>
            <w:bottom w:w="0" w:type="dxa"/>
            <w:right w:w="108" w:type="dxa"/>
          </w:tblCellMar>
        </w:tblPrEx>
        <w:trPr>
          <w:trHeight w:val="508" w:hRule="atLeast"/>
        </w:trPr>
        <w:tc>
          <w:tcPr>
            <w:tcW w:w="2557" w:type="dxa"/>
            <w:gridSpan w:val="3"/>
            <w:tcBorders>
              <w:top w:val="nil"/>
              <w:left w:val="nil"/>
              <w:bottom w:val="nil"/>
              <w:right w:val="nil"/>
            </w:tcBorders>
            <w:shd w:val="clear" w:color="auto" w:fill="auto"/>
            <w:noWrap/>
            <w:vAlign w:val="center"/>
          </w:tcPr>
          <w:p>
            <w:pPr>
              <w:widowControl/>
              <w:spacing w:line="240" w:lineRule="exact"/>
              <w:ind w:left="1260" w:hanging="1260" w:hangingChars="60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申报单位：</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鄂州市行政</w:t>
            </w:r>
          </w:p>
          <w:p>
            <w:pPr>
              <w:widowControl/>
              <w:spacing w:line="240" w:lineRule="exact"/>
              <w:ind w:firstLine="1260" w:firstLineChars="600"/>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审批局</w:t>
            </w:r>
          </w:p>
        </w:tc>
        <w:tc>
          <w:tcPr>
            <w:tcW w:w="515" w:type="dxa"/>
            <w:gridSpan w:val="3"/>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539"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58"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58"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66"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271" w:type="dxa"/>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p>
        </w:tc>
        <w:tc>
          <w:tcPr>
            <w:tcW w:w="1070" w:type="dxa"/>
            <w:gridSpan w:val="2"/>
            <w:tcBorders>
              <w:top w:val="nil"/>
              <w:left w:val="nil"/>
              <w:bottom w:val="nil"/>
              <w:right w:val="nil"/>
            </w:tcBorders>
            <w:shd w:val="clear" w:color="auto" w:fill="auto"/>
            <w:noWrap/>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p>
        </w:tc>
        <w:tc>
          <w:tcPr>
            <w:tcW w:w="3214" w:type="dxa"/>
            <w:gridSpan w:val="5"/>
            <w:tcBorders>
              <w:top w:val="nil"/>
              <w:left w:val="nil"/>
              <w:bottom w:val="single" w:color="auto" w:sz="4" w:space="0"/>
              <w:right w:val="nil"/>
            </w:tcBorders>
            <w:shd w:val="clear" w:color="auto" w:fill="auto"/>
            <w:noWrap/>
            <w:vAlign w:val="center"/>
          </w:tcPr>
          <w:p>
            <w:pPr>
              <w:widowControl/>
              <w:spacing w:line="240" w:lineRule="exact"/>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金额单位：万元</w:t>
            </w:r>
          </w:p>
        </w:tc>
      </w:tr>
      <w:tr>
        <w:tblPrEx>
          <w:tblCellMar>
            <w:top w:w="0" w:type="dxa"/>
            <w:left w:w="108" w:type="dxa"/>
            <w:bottom w:w="0" w:type="dxa"/>
            <w:right w:w="108" w:type="dxa"/>
          </w:tblCellMar>
        </w:tblPrEx>
        <w:trPr>
          <w:trHeight w:val="487" w:hRule="atLeast"/>
        </w:trPr>
        <w:tc>
          <w:tcPr>
            <w:tcW w:w="122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项目名称</w:t>
            </w:r>
          </w:p>
        </w:tc>
        <w:tc>
          <w:tcPr>
            <w:tcW w:w="1530" w:type="dxa"/>
            <w:gridSpan w:val="4"/>
            <w:tcBorders>
              <w:top w:val="single" w:color="auto" w:sz="4" w:space="0"/>
              <w:left w:val="nil"/>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政务服务提升工作经费</w:t>
            </w:r>
          </w:p>
        </w:tc>
        <w:tc>
          <w:tcPr>
            <w:tcW w:w="1112" w:type="dxa"/>
            <w:gridSpan w:val="4"/>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项目类别</w:t>
            </w:r>
          </w:p>
        </w:tc>
        <w:tc>
          <w:tcPr>
            <w:tcW w:w="1865"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延续性项目</w:t>
            </w:r>
          </w:p>
        </w:tc>
        <w:tc>
          <w:tcPr>
            <w:tcW w:w="1510" w:type="dxa"/>
            <w:gridSpan w:val="3"/>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项目性质</w:t>
            </w:r>
          </w:p>
        </w:tc>
        <w:tc>
          <w:tcPr>
            <w:tcW w:w="1704"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持续性项目</w:t>
            </w:r>
          </w:p>
        </w:tc>
      </w:tr>
      <w:tr>
        <w:tblPrEx>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立项依据</w:t>
            </w:r>
          </w:p>
        </w:tc>
        <w:tc>
          <w:tcPr>
            <w:tcW w:w="7721" w:type="dxa"/>
            <w:gridSpan w:val="18"/>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贯彻落实《湖北省人民政府办公厅关于进一步加强基层便民服务工作的指导意见》（鄂政办发〔2016〕28号）、《湖北省人民政府关于印发湖北省深化“互联网+政务服务”推进“一网、一门、一次”改革工作方案的通知》（鄂政发〔2018〕29号）、《湖北省人民政府关于推进基层政务服务“一网通办”的指导意见》（鄂政发〔2021〕6号）、《湖北省政府办公厅关于印发湖北省优化营商环境“清、减、降”专项行动实施方案的通知》（鄂政办函〔2021〕16号）精神，落实鄂州市委、市政府《关于以市场主体需求为导向打造一流营商环境的实施方案》部署，市级依申请和公共服务事项全部进驻本级政务中心，综合窗口占比不低于50%，全市政务服务工作机制、平台建设、基础支撑、专业队伍、服务保障等进一步完善和加强，企业群众办事便利性和满意度明显提升，为打造政务服务鄂州标准打下坚实基础。</w:t>
            </w:r>
          </w:p>
        </w:tc>
      </w:tr>
      <w:tr>
        <w:tblPrEx>
          <w:tblCellMar>
            <w:top w:w="0" w:type="dxa"/>
            <w:left w:w="108" w:type="dxa"/>
            <w:bottom w:w="0" w:type="dxa"/>
            <w:right w:w="108" w:type="dxa"/>
          </w:tblCellMar>
        </w:tblPrEx>
        <w:trPr>
          <w:trHeight w:val="603" w:hRule="atLeast"/>
        </w:trPr>
        <w:tc>
          <w:tcPr>
            <w:tcW w:w="12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项目预算</w:t>
            </w:r>
          </w:p>
        </w:tc>
        <w:tc>
          <w:tcPr>
            <w:tcW w:w="7721" w:type="dxa"/>
            <w:gridSpan w:val="18"/>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50万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项目绩效总目标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名称</w:t>
            </w:r>
          </w:p>
        </w:tc>
        <w:tc>
          <w:tcPr>
            <w:tcW w:w="6221" w:type="dxa"/>
            <w:gridSpan w:val="1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6221"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以“办事主体好办事”为出发点，以政务服务“高效办成一件事”为抓手，进一步完善全市政务服务体系，持续提升全市政务服务和社会治理能力。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w:t>
            </w:r>
          </w:p>
        </w:tc>
        <w:tc>
          <w:tcPr>
            <w:tcW w:w="6221"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6221"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按照“一门一窗”工作要求，市级依申请与公共服务事项全量进驻政务服务中心，大幅提高审批效率，减少行政成本，切实为服务对象提供优质的政务服务体验，解决办事主体“最后一米”问题。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727" w:type="dxa"/>
            <w:gridSpan w:val="4"/>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w:t>
            </w:r>
          </w:p>
        </w:tc>
        <w:tc>
          <w:tcPr>
            <w:tcW w:w="6221" w:type="dxa"/>
            <w:gridSpan w:val="1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宣传报道、专题片数量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r>
              <w:rPr>
                <w:rFonts w:hint="eastAsia" w:ascii="仿宋_GB2312" w:hAnsi="宋体" w:eastAsia="仿宋_GB2312" w:cs="仿宋_GB2312"/>
                <w:kern w:val="0"/>
                <w:lang w:val="en-US" w:eastAsia="zh-CN"/>
              </w:rPr>
              <w:t>10个</w:t>
            </w: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反映宣传政务服务特色亮点工作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政务大厅合格率</w:t>
            </w:r>
          </w:p>
        </w:tc>
        <w:tc>
          <w:tcPr>
            <w:tcW w:w="1094" w:type="dxa"/>
            <w:vAlign w:val="center"/>
          </w:tcPr>
          <w:p>
            <w:pPr>
              <w:widowControl/>
              <w:ind w:firstLine="210" w:firstLineChars="100"/>
              <w:jc w:val="both"/>
              <w:rPr>
                <w:rFonts w:ascii="仿宋_GB2312" w:hAnsi="宋体" w:eastAsia="仿宋_GB2312" w:cs="Times New Roman"/>
                <w:kern w:val="0"/>
              </w:rPr>
            </w:pPr>
            <w:r>
              <w:rPr>
                <w:rFonts w:hint="eastAsia" w:ascii="仿宋_GB2312" w:hAnsi="宋体" w:eastAsia="仿宋_GB2312" w:cs="仿宋_GB2312"/>
                <w:kern w:val="0"/>
              </w:rPr>
              <w:t>≥</w:t>
            </w:r>
            <w:r>
              <w:rPr>
                <w:rFonts w:hint="eastAsia" w:ascii="微软雅黑" w:hAnsi="微软雅黑" w:eastAsia="微软雅黑" w:cs="微软雅黑"/>
                <w:kern w:val="0"/>
                <w:lang w:val="en-US" w:eastAsia="zh-CN"/>
              </w:rPr>
              <w:t>95%</w:t>
            </w: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反映市政务服务大厅的质量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p>
        </w:tc>
        <w:tc>
          <w:tcPr>
            <w:tcW w:w="1094" w:type="dxa"/>
            <w:vAlign w:val="center"/>
          </w:tcPr>
          <w:p>
            <w:pPr>
              <w:widowControl/>
              <w:jc w:val="left"/>
              <w:rPr>
                <w:rFonts w:hint="default" w:ascii="仿宋_GB2312" w:hAnsi="宋体" w:eastAsia="仿宋_GB2312" w:cs="Times New Roman"/>
                <w:kern w:val="0"/>
                <w:lang w:val="en-US"/>
              </w:rPr>
            </w:pPr>
            <w:r>
              <w:rPr>
                <w:rFonts w:hint="eastAsia" w:ascii="仿宋_GB2312" w:hAnsi="宋体" w:eastAsia="仿宋_GB2312" w:cs="仿宋_GB2312"/>
                <w:kern w:val="0"/>
              </w:rPr>
              <w:t>　</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项目按时完成率　</w:t>
            </w:r>
          </w:p>
        </w:tc>
        <w:tc>
          <w:tcPr>
            <w:tcW w:w="1094" w:type="dxa"/>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反映项目按时完成程度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1953" w:type="dxa"/>
            <w:gridSpan w:val="7"/>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提升全市政务服务标准化规范化便利化水平　</w:t>
            </w:r>
          </w:p>
        </w:tc>
        <w:tc>
          <w:tcPr>
            <w:tcW w:w="1094" w:type="dxa"/>
            <w:vAlign w:val="center"/>
          </w:tcPr>
          <w:p>
            <w:pPr>
              <w:widowControl/>
              <w:jc w:val="center"/>
              <w:rPr>
                <w:rFonts w:hint="eastAsia" w:ascii="仿宋_GB2312" w:hAnsi="宋体" w:eastAsia="仿宋_GB2312" w:cs="Times New Roman"/>
                <w:kern w:val="0"/>
                <w:lang w:eastAsia="zh-CN"/>
              </w:rPr>
            </w:pPr>
            <w:r>
              <w:rPr>
                <w:rFonts w:hint="eastAsia" w:ascii="仿宋_GB2312" w:hAnsi="宋体" w:eastAsia="仿宋_GB2312" w:cs="Times New Roman"/>
                <w:kern w:val="0"/>
                <w:lang w:eastAsia="zh-CN"/>
              </w:rPr>
              <w:t>提升</w:t>
            </w:r>
          </w:p>
        </w:tc>
        <w:tc>
          <w:tcPr>
            <w:tcW w:w="2038" w:type="dxa"/>
            <w:gridSpan w:val="3"/>
            <w:vAlign w:val="center"/>
          </w:tcPr>
          <w:p>
            <w:pPr>
              <w:widowControl/>
              <w:jc w:val="both"/>
              <w:rPr>
                <w:rFonts w:ascii="仿宋_GB2312" w:hAnsi="宋体" w:eastAsia="仿宋_GB2312" w:cs="Times New Roman"/>
                <w:kern w:val="0"/>
              </w:rPr>
            </w:pPr>
            <w:r>
              <w:rPr>
                <w:rFonts w:hint="eastAsia" w:ascii="仿宋_GB2312" w:hAnsi="宋体" w:eastAsia="仿宋_GB2312" w:cs="Times New Roman"/>
                <w:kern w:val="0"/>
              </w:rPr>
              <w:t>反映项目的社会效益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实现“一门一窗”服务</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实现</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反映项目的社会效益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1953" w:type="dxa"/>
            <w:gridSpan w:val="7"/>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全面实现政务服务“高效办成一件事”</w:t>
            </w:r>
          </w:p>
        </w:tc>
        <w:tc>
          <w:tcPr>
            <w:tcW w:w="1094" w:type="dxa"/>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实现</w:t>
            </w:r>
          </w:p>
        </w:tc>
        <w:tc>
          <w:tcPr>
            <w:tcW w:w="2038" w:type="dxa"/>
            <w:gridSpan w:val="3"/>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体验感增强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7"/>
            <w:vAlign w:val="bottom"/>
          </w:tcPr>
          <w:p>
            <w:pPr>
              <w:widowControl/>
              <w:jc w:val="center"/>
              <w:rPr>
                <w:rFonts w:ascii="仿宋_GB2312" w:hAnsi="Arial" w:eastAsia="仿宋_GB2312" w:cs="Times New Roman"/>
                <w:kern w:val="0"/>
              </w:rPr>
            </w:pPr>
            <w:r>
              <w:rPr>
                <w:rFonts w:hint="eastAsia" w:ascii="仿宋_GB2312" w:hAnsi="Arial" w:eastAsia="仿宋_GB2312" w:cs="Times New Roman"/>
                <w:kern w:val="0"/>
              </w:rPr>
              <w:t>市民对项目的满意率</w:t>
            </w:r>
          </w:p>
        </w:tc>
        <w:tc>
          <w:tcPr>
            <w:tcW w:w="1094" w:type="dxa"/>
            <w:vAlign w:val="center"/>
          </w:tcPr>
          <w:p>
            <w:pPr>
              <w:widowControl/>
              <w:jc w:val="left"/>
              <w:rPr>
                <w:rFonts w:hint="default"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96%</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反映项目的满意程度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2</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bottom"/>
          </w:tcPr>
          <w:p>
            <w:pPr>
              <w:widowControl/>
              <w:jc w:val="left"/>
              <w:rPr>
                <w:rFonts w:ascii="仿宋_GB2312" w:hAnsi="Arial" w:eastAsia="仿宋_GB2312" w:cs="Times New Roman"/>
                <w:kern w:val="0"/>
              </w:rPr>
            </w:pPr>
            <w:r>
              <w:rPr>
                <w:rFonts w:hint="eastAsia" w:ascii="仿宋_GB2312" w:hAnsi="Arial" w:eastAsia="仿宋_GB2312" w:cs="仿宋_GB2312"/>
                <w:kern w:val="0"/>
              </w:rPr>
              <w:t>　</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bottom"/>
          </w:tcPr>
          <w:p>
            <w:pPr>
              <w:widowControl/>
              <w:jc w:val="left"/>
              <w:rPr>
                <w:rFonts w:ascii="仿宋_GB2312" w:hAnsi="Arial" w:eastAsia="仿宋_GB2312" w:cs="Times New Roman"/>
                <w:kern w:val="0"/>
              </w:rPr>
            </w:pPr>
            <w:r>
              <w:rPr>
                <w:rFonts w:hint="eastAsia" w:ascii="仿宋_GB2312" w:hAnsi="Arial" w:eastAsia="仿宋_GB2312" w:cs="仿宋_GB2312"/>
                <w:kern w:val="0"/>
              </w:rPr>
              <w:t>　</w:t>
            </w:r>
          </w:p>
        </w:tc>
        <w:tc>
          <w:tcPr>
            <w:tcW w:w="1953" w:type="dxa"/>
            <w:gridSpan w:val="7"/>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48" w:type="dxa"/>
            <w:gridSpan w:val="19"/>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860" w:type="dxa"/>
            <w:gridSpan w:val="5"/>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268"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957"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w:t>
            </w:r>
          </w:p>
          <w:p>
            <w:pPr>
              <w:widowControl/>
              <w:jc w:val="center"/>
              <w:rPr>
                <w:rFonts w:ascii="仿宋_GB2312" w:hAnsi="宋体" w:eastAsia="仿宋_GB2312" w:cs="Times New Roman"/>
                <w:kern w:val="0"/>
              </w:rPr>
            </w:pPr>
            <w:r>
              <w:rPr>
                <w:rFonts w:hint="eastAsia" w:ascii="仿宋_GB2312" w:hAnsi="宋体" w:eastAsia="仿宋_GB2312" w:cs="仿宋_GB2312"/>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Merge w:val="continue"/>
            <w:vAlign w:val="center"/>
          </w:tcPr>
          <w:p>
            <w:pPr>
              <w:widowControl/>
              <w:jc w:val="left"/>
              <w:rPr>
                <w:rFonts w:ascii="仿宋_GB2312" w:hAnsi="宋体" w:eastAsia="仿宋_GB2312" w:cs="Times New Roman"/>
                <w:kern w:val="0"/>
              </w:rPr>
            </w:pPr>
          </w:p>
        </w:tc>
        <w:tc>
          <w:tcPr>
            <w:tcW w:w="1093"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前年</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上年</w:t>
            </w:r>
          </w:p>
        </w:tc>
        <w:tc>
          <w:tcPr>
            <w:tcW w:w="1081"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预计当年</w:t>
            </w:r>
          </w:p>
          <w:p>
            <w:pPr>
              <w:widowControl/>
              <w:jc w:val="center"/>
              <w:rPr>
                <w:rFonts w:ascii="仿宋_GB2312" w:hAnsi="宋体" w:eastAsia="仿宋_GB2312" w:cs="Times New Roman"/>
                <w:kern w:val="0"/>
              </w:rPr>
            </w:pPr>
            <w:r>
              <w:rPr>
                <w:rFonts w:hint="eastAsia" w:ascii="仿宋_GB2312" w:hAnsi="宋体" w:eastAsia="仿宋_GB2312" w:cs="仿宋_GB2312"/>
                <w:kern w:val="0"/>
              </w:rPr>
              <w:t>实现</w:t>
            </w:r>
          </w:p>
        </w:tc>
        <w:tc>
          <w:tcPr>
            <w:tcW w:w="957" w:type="dxa"/>
            <w:vMerge w:val="continue"/>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 xml:space="preserve"> 宣传报道、专题片数量</w:t>
            </w:r>
          </w:p>
        </w:tc>
        <w:tc>
          <w:tcPr>
            <w:tcW w:w="1093" w:type="dxa"/>
            <w:gridSpan w:val="2"/>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1094" w:type="dxa"/>
            <w:vAlign w:val="center"/>
          </w:tcPr>
          <w:p>
            <w:pPr>
              <w:widowControl/>
              <w:jc w:val="center"/>
              <w:rPr>
                <w:rFonts w:hint="default" w:ascii="仿宋_GB2312" w:hAnsi="宋体" w:eastAsia="微软雅黑"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1081" w:type="dxa"/>
            <w:gridSpan w:val="2"/>
            <w:vAlign w:val="center"/>
          </w:tcPr>
          <w:p>
            <w:pPr>
              <w:widowControl/>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957" w:type="dxa"/>
            <w:vAlign w:val="center"/>
          </w:tcPr>
          <w:p>
            <w:pPr>
              <w:widowControl/>
              <w:jc w:val="left"/>
              <w:rPr>
                <w:rFonts w:hint="default" w:ascii="仿宋_GB2312" w:hAnsi="宋体" w:eastAsia="微软雅黑" w:cs="Times New Roman"/>
                <w:kern w:val="0"/>
                <w:lang w:val="en-US" w:eastAsia="zh-CN"/>
              </w:rPr>
            </w:pPr>
            <w:r>
              <w:rPr>
                <w:rFonts w:hint="eastAsia" w:ascii="微软雅黑" w:hAnsi="微软雅黑" w:eastAsia="微软雅黑" w:cs="微软雅黑"/>
                <w:kern w:val="0"/>
              </w:rPr>
              <w:t>≥</w:t>
            </w:r>
            <w:r>
              <w:rPr>
                <w:rFonts w:hint="eastAsia" w:ascii="微软雅黑" w:hAnsi="微软雅黑" w:eastAsia="微软雅黑" w:cs="微软雅黑"/>
                <w:kern w:val="0"/>
                <w:lang w:val="en-US" w:eastAsia="zh-CN"/>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p>
        </w:tc>
        <w:tc>
          <w:tcPr>
            <w:tcW w:w="1093" w:type="dxa"/>
            <w:gridSpan w:val="2"/>
            <w:vAlign w:val="center"/>
          </w:tcPr>
          <w:p>
            <w:pPr>
              <w:widowControl/>
              <w:jc w:val="left"/>
              <w:rPr>
                <w:rFonts w:hint="default" w:ascii="仿宋_GB2312" w:hAnsi="宋体" w:eastAsia="仿宋_GB2312" w:cs="Times New Roman"/>
                <w:kern w:val="0"/>
                <w:sz w:val="21"/>
                <w:szCs w:val="21"/>
                <w:lang w:val="en-US" w:eastAsia="zh-CN" w:bidi="ar-SA"/>
              </w:rPr>
            </w:pPr>
          </w:p>
        </w:tc>
        <w:tc>
          <w:tcPr>
            <w:tcW w:w="1094" w:type="dxa"/>
            <w:vAlign w:val="center"/>
          </w:tcPr>
          <w:p>
            <w:pPr>
              <w:widowControl/>
              <w:jc w:val="center"/>
              <w:rPr>
                <w:rFonts w:hint="default" w:ascii="仿宋_GB2312" w:hAnsi="宋体" w:eastAsia="微软雅黑" w:cs="Times New Roman"/>
                <w:kern w:val="0"/>
                <w:sz w:val="21"/>
                <w:szCs w:val="21"/>
                <w:lang w:val="en-US" w:eastAsia="zh-CN" w:bidi="ar-SA"/>
              </w:rPr>
            </w:pPr>
          </w:p>
        </w:tc>
        <w:tc>
          <w:tcPr>
            <w:tcW w:w="1081" w:type="dxa"/>
            <w:gridSpan w:val="2"/>
            <w:vAlign w:val="center"/>
          </w:tcPr>
          <w:p>
            <w:pPr>
              <w:widowControl/>
              <w:jc w:val="left"/>
              <w:rPr>
                <w:rFonts w:hint="default"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政务大厅合格率</w:t>
            </w:r>
          </w:p>
        </w:tc>
        <w:tc>
          <w:tcPr>
            <w:tcW w:w="1093" w:type="dxa"/>
            <w:gridSpan w:val="2"/>
            <w:vAlign w:val="center"/>
          </w:tcPr>
          <w:p>
            <w:pPr>
              <w:widowControl/>
              <w:jc w:val="left"/>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1094" w:type="dxa"/>
            <w:vAlign w:val="center"/>
          </w:tcPr>
          <w:p>
            <w:pPr>
              <w:widowControl/>
              <w:jc w:val="center"/>
              <w:rPr>
                <w:rFonts w:hint="default" w:ascii="仿宋_GB2312" w:hAnsi="宋体" w:eastAsia="微软雅黑" w:cs="Times New Roman"/>
                <w:kern w:val="0"/>
                <w:sz w:val="21"/>
                <w:szCs w:val="21"/>
                <w:lang w:val="en-US" w:eastAsia="zh-CN" w:bidi="ar-SA"/>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1081" w:type="dxa"/>
            <w:gridSpan w:val="2"/>
            <w:vAlign w:val="center"/>
          </w:tcPr>
          <w:p>
            <w:pPr>
              <w:widowControl/>
              <w:jc w:val="left"/>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反映市政务服务大厅的质量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项目按时完成率</w:t>
            </w:r>
          </w:p>
        </w:tc>
        <w:tc>
          <w:tcPr>
            <w:tcW w:w="1093" w:type="dxa"/>
            <w:gridSpan w:val="2"/>
            <w:vAlign w:val="center"/>
          </w:tcPr>
          <w:p>
            <w:pPr>
              <w:widowControl/>
              <w:jc w:val="left"/>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1094" w:type="dxa"/>
            <w:vAlign w:val="center"/>
          </w:tcPr>
          <w:p>
            <w:pPr>
              <w:widowControl/>
              <w:jc w:val="center"/>
              <w:rPr>
                <w:rFonts w:hint="default" w:ascii="仿宋_GB2312" w:hAnsi="宋体" w:eastAsia="微软雅黑" w:cs="Times New Roman"/>
                <w:kern w:val="0"/>
                <w:sz w:val="21"/>
                <w:szCs w:val="21"/>
                <w:lang w:val="en-US" w:eastAsia="zh-CN" w:bidi="ar-SA"/>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1081" w:type="dxa"/>
            <w:gridSpan w:val="2"/>
            <w:vAlign w:val="center"/>
          </w:tcPr>
          <w:p>
            <w:pPr>
              <w:widowControl/>
              <w:jc w:val="left"/>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反映项目按时完成程度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提升全市政务服务标准化规范化便利化水平</w:t>
            </w:r>
          </w:p>
        </w:tc>
        <w:tc>
          <w:tcPr>
            <w:tcW w:w="1093" w:type="dxa"/>
            <w:gridSpan w:val="2"/>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lang w:eastAsia="zh-CN"/>
              </w:rPr>
              <w:t>完成</w:t>
            </w:r>
            <w:r>
              <w:rPr>
                <w:rFonts w:hint="eastAsia" w:ascii="仿宋_GB2312" w:hAnsi="宋体" w:eastAsia="仿宋_GB2312" w:cs="仿宋_GB2312"/>
                <w:kern w:val="0"/>
              </w:rPr>
              <w:t>　</w:t>
            </w:r>
          </w:p>
        </w:tc>
        <w:tc>
          <w:tcPr>
            <w:tcW w:w="1081" w:type="dxa"/>
            <w:gridSpan w:val="2"/>
            <w:vAlign w:val="center"/>
          </w:tcPr>
          <w:p>
            <w:pPr>
              <w:widowControl/>
              <w:jc w:val="left"/>
              <w:rPr>
                <w:rFonts w:hint="eastAsia" w:ascii="仿宋_GB2312" w:hAnsi="宋体" w:eastAsia="仿宋_GB2312" w:cs="Times New Roman"/>
                <w:kern w:val="0"/>
                <w:lang w:eastAsia="zh-CN"/>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反映项目的社会效益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Times New Roman"/>
                <w:kern w:val="0"/>
              </w:rPr>
              <w:t>实现“一门一窗”服务</w:t>
            </w:r>
          </w:p>
        </w:tc>
        <w:tc>
          <w:tcPr>
            <w:tcW w:w="1093" w:type="dxa"/>
            <w:gridSpan w:val="2"/>
            <w:vAlign w:val="center"/>
          </w:tcPr>
          <w:p>
            <w:pPr>
              <w:widowControl/>
              <w:jc w:val="left"/>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1094" w:type="dxa"/>
            <w:vAlign w:val="center"/>
          </w:tcPr>
          <w:p>
            <w:pPr>
              <w:widowControl/>
              <w:jc w:val="center"/>
              <w:rPr>
                <w:rFonts w:ascii="仿宋_GB2312" w:hAnsi="宋体" w:eastAsia="仿宋_GB2312" w:cs="Times New Roman"/>
                <w:kern w:val="0"/>
                <w:sz w:val="21"/>
                <w:szCs w:val="21"/>
                <w:lang w:val="en-US" w:eastAsia="zh-CN" w:bidi="ar-SA"/>
              </w:rPr>
            </w:pPr>
            <w:r>
              <w:rPr>
                <w:rFonts w:hint="eastAsia" w:ascii="仿宋_GB2312" w:hAnsi="宋体" w:eastAsia="仿宋_GB2312" w:cs="仿宋_GB2312"/>
                <w:kern w:val="0"/>
                <w:lang w:eastAsia="zh-CN"/>
              </w:rPr>
              <w:t>完成</w:t>
            </w:r>
            <w:r>
              <w:rPr>
                <w:rFonts w:hint="eastAsia" w:ascii="仿宋_GB2312" w:hAnsi="宋体" w:eastAsia="仿宋_GB2312" w:cs="仿宋_GB2312"/>
                <w:kern w:val="0"/>
              </w:rPr>
              <w:t>　</w:t>
            </w:r>
          </w:p>
        </w:tc>
        <w:tc>
          <w:tcPr>
            <w:tcW w:w="1081" w:type="dxa"/>
            <w:gridSpan w:val="2"/>
            <w:vAlign w:val="center"/>
          </w:tcPr>
          <w:p>
            <w:pPr>
              <w:widowControl/>
              <w:jc w:val="left"/>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反映项目的社会效益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全面实现政务服务“高效办成一件事”</w:t>
            </w:r>
          </w:p>
        </w:tc>
        <w:tc>
          <w:tcPr>
            <w:tcW w:w="1093" w:type="dxa"/>
            <w:gridSpan w:val="2"/>
            <w:vAlign w:val="center"/>
          </w:tcPr>
          <w:p>
            <w:pPr>
              <w:widowControl/>
              <w:jc w:val="left"/>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1094" w:type="dxa"/>
            <w:vAlign w:val="center"/>
          </w:tcPr>
          <w:p>
            <w:pPr>
              <w:widowControl/>
              <w:jc w:val="center"/>
              <w:rPr>
                <w:rFonts w:ascii="仿宋_GB2312" w:hAnsi="宋体" w:eastAsia="仿宋_GB2312" w:cs="Times New Roman"/>
                <w:kern w:val="0"/>
                <w:sz w:val="21"/>
                <w:szCs w:val="21"/>
                <w:lang w:val="en-US" w:eastAsia="zh-CN" w:bidi="ar-SA"/>
              </w:rPr>
            </w:pPr>
            <w:r>
              <w:rPr>
                <w:rFonts w:hint="eastAsia" w:ascii="仿宋_GB2312" w:hAnsi="宋体" w:eastAsia="仿宋_GB2312" w:cs="仿宋_GB2312"/>
                <w:kern w:val="0"/>
                <w:lang w:eastAsia="zh-CN"/>
              </w:rPr>
              <w:t>完成</w:t>
            </w:r>
            <w:r>
              <w:rPr>
                <w:rFonts w:hint="eastAsia" w:ascii="仿宋_GB2312" w:hAnsi="宋体" w:eastAsia="仿宋_GB2312" w:cs="仿宋_GB2312"/>
                <w:kern w:val="0"/>
              </w:rPr>
              <w:t>　</w:t>
            </w:r>
          </w:p>
        </w:tc>
        <w:tc>
          <w:tcPr>
            <w:tcW w:w="1081" w:type="dxa"/>
            <w:gridSpan w:val="2"/>
            <w:vAlign w:val="center"/>
          </w:tcPr>
          <w:p>
            <w:pPr>
              <w:widowControl/>
              <w:jc w:val="left"/>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体验感增强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4"/>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Times New Roman"/>
                <w:kern w:val="0"/>
              </w:rPr>
              <w:t>市民对项目的满意率</w:t>
            </w:r>
          </w:p>
        </w:tc>
        <w:tc>
          <w:tcPr>
            <w:tcW w:w="1093" w:type="dxa"/>
            <w:gridSpan w:val="2"/>
            <w:vAlign w:val="center"/>
          </w:tcPr>
          <w:p>
            <w:pPr>
              <w:widowControl/>
              <w:jc w:val="left"/>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1094" w:type="dxa"/>
            <w:vAlign w:val="center"/>
          </w:tcPr>
          <w:p>
            <w:pPr>
              <w:widowControl/>
              <w:jc w:val="center"/>
              <w:rPr>
                <w:rFonts w:ascii="仿宋_GB2312" w:hAnsi="宋体" w:eastAsia="仿宋_GB2312" w:cs="Times New Roman"/>
                <w:kern w:val="0"/>
                <w:sz w:val="21"/>
                <w:szCs w:val="21"/>
                <w:lang w:val="en-US" w:eastAsia="zh-CN" w:bidi="ar-SA"/>
              </w:rPr>
            </w:pPr>
            <w:r>
              <w:rPr>
                <w:rFonts w:hint="eastAsia" w:ascii="仿宋_GB2312" w:hAnsi="宋体" w:eastAsia="仿宋_GB2312" w:cs="仿宋_GB2312"/>
                <w:kern w:val="0"/>
                <w:lang w:eastAsia="zh-CN"/>
              </w:rPr>
              <w:t>完成</w:t>
            </w:r>
            <w:r>
              <w:rPr>
                <w:rFonts w:hint="eastAsia" w:ascii="仿宋_GB2312" w:hAnsi="宋体" w:eastAsia="仿宋_GB2312" w:cs="仿宋_GB2312"/>
                <w:kern w:val="0"/>
              </w:rPr>
              <w:t>　</w:t>
            </w:r>
          </w:p>
        </w:tc>
        <w:tc>
          <w:tcPr>
            <w:tcW w:w="1081" w:type="dxa"/>
            <w:gridSpan w:val="2"/>
            <w:vAlign w:val="center"/>
          </w:tcPr>
          <w:p>
            <w:pPr>
              <w:widowControl/>
              <w:jc w:val="left"/>
              <w:rPr>
                <w:rFonts w:hint="eastAsia" w:ascii="仿宋_GB2312" w:hAnsi="宋体" w:eastAsia="仿宋_GB2312" w:cs="Times New Roman"/>
                <w:kern w:val="0"/>
                <w:sz w:val="21"/>
                <w:szCs w:val="21"/>
                <w:lang w:val="en-US" w:eastAsia="zh-CN" w:bidi="ar-SA"/>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完成</w:t>
            </w:r>
          </w:p>
        </w:tc>
        <w:tc>
          <w:tcPr>
            <w:tcW w:w="957" w:type="dxa"/>
            <w:vAlign w:val="center"/>
          </w:tcPr>
          <w:p>
            <w:pPr>
              <w:widowControl/>
              <w:jc w:val="left"/>
              <w:rPr>
                <w:rFonts w:hint="default" w:ascii="仿宋_GB2312" w:hAnsi="宋体" w:eastAsia="微软雅黑" w:cs="Times New Roman"/>
                <w:kern w:val="0"/>
                <w:lang w:val="en-US" w:eastAsia="zh-CN"/>
              </w:rPr>
            </w:pPr>
            <w:r>
              <w:rPr>
                <w:rFonts w:hint="eastAsia" w:ascii="微软雅黑" w:hAnsi="微软雅黑" w:eastAsia="微软雅黑" w:cs="微软雅黑"/>
                <w:kern w:val="0"/>
              </w:rPr>
              <w:t>≥</w:t>
            </w:r>
            <w:r>
              <w:rPr>
                <w:rFonts w:hint="eastAsia" w:ascii="微软雅黑" w:hAnsi="微软雅黑" w:eastAsia="微软雅黑" w:cs="微软雅黑"/>
                <w:kern w:val="0"/>
                <w:lang w:val="en-US" w:eastAsia="zh-CN"/>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jc w:val="center"/>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gridSpan w:val="2"/>
            <w:vMerge w:val="continue"/>
            <w:vAlign w:val="center"/>
          </w:tcPr>
          <w:p>
            <w:pPr>
              <w:widowControl/>
              <w:jc w:val="left"/>
              <w:rPr>
                <w:rFonts w:ascii="仿宋_GB2312" w:hAnsi="宋体" w:eastAsia="仿宋_GB2312" w:cs="Times New Roman"/>
                <w:kern w:val="0"/>
              </w:rPr>
            </w:pPr>
          </w:p>
        </w:tc>
        <w:tc>
          <w:tcPr>
            <w:tcW w:w="1136" w:type="dxa"/>
            <w:gridSpan w:val="4"/>
            <w:vMerge w:val="continue"/>
            <w:vAlign w:val="center"/>
          </w:tcPr>
          <w:p>
            <w:pPr>
              <w:widowControl/>
              <w:jc w:val="left"/>
              <w:rPr>
                <w:rFonts w:ascii="仿宋_GB2312" w:hAnsi="宋体" w:eastAsia="仿宋_GB2312" w:cs="Times New Roman"/>
                <w:kern w:val="0"/>
              </w:rPr>
            </w:pPr>
          </w:p>
        </w:tc>
        <w:tc>
          <w:tcPr>
            <w:tcW w:w="860"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2</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bottom"/>
          </w:tcPr>
          <w:p>
            <w:pPr>
              <w:widowControl/>
              <w:jc w:val="left"/>
              <w:rPr>
                <w:rFonts w:ascii="仿宋_GB2312" w:hAnsi="Arial" w:eastAsia="仿宋_GB2312" w:cs="Times New Roman"/>
                <w:kern w:val="0"/>
              </w:rPr>
            </w:pPr>
            <w:r>
              <w:rPr>
                <w:rFonts w:hint="eastAsia" w:ascii="仿宋_GB2312" w:hAnsi="Arial" w:eastAsia="仿宋_GB2312" w:cs="仿宋_GB2312"/>
                <w:kern w:val="0"/>
              </w:rPr>
              <w:t>　</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bottom"/>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bottom"/>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136" w:type="dxa"/>
            <w:gridSpan w:val="4"/>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860" w:type="dxa"/>
            <w:gridSpan w:val="5"/>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r>
      <w:tr>
        <w:tblPrEx>
          <w:tblCellMar>
            <w:top w:w="0" w:type="dxa"/>
            <w:left w:w="108" w:type="dxa"/>
            <w:bottom w:w="0" w:type="dxa"/>
            <w:right w:w="108" w:type="dxa"/>
          </w:tblCellMar>
        </w:tblPrEx>
        <w:trPr>
          <w:trHeight w:val="603" w:hRule="atLeast"/>
        </w:trPr>
        <w:tc>
          <w:tcPr>
            <w:tcW w:w="1634" w:type="dxa"/>
            <w:gridSpan w:val="2"/>
            <w:vMerge w:val="restart"/>
            <w:tcBorders>
              <w:top w:val="nil"/>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主管部门审核意见</w:t>
            </w:r>
          </w:p>
        </w:tc>
        <w:tc>
          <w:tcPr>
            <w:tcW w:w="7314" w:type="dxa"/>
            <w:gridSpan w:val="17"/>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审核意见：                    </w:t>
            </w:r>
          </w:p>
        </w:tc>
      </w:tr>
      <w:tr>
        <w:tblPrEx>
          <w:tblCellMar>
            <w:top w:w="0" w:type="dxa"/>
            <w:left w:w="108" w:type="dxa"/>
            <w:bottom w:w="0" w:type="dxa"/>
            <w:right w:w="108" w:type="dxa"/>
          </w:tblCellMar>
        </w:tblPrEx>
        <w:trPr>
          <w:trHeight w:val="303"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7"/>
            <w:tcBorders>
              <w:top w:val="nil"/>
              <w:left w:val="single" w:color="auto" w:sz="4" w:space="0"/>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p>
        </w:tc>
      </w:tr>
      <w:tr>
        <w:tblPrEx>
          <w:tblCellMar>
            <w:top w:w="0" w:type="dxa"/>
            <w:left w:w="108" w:type="dxa"/>
            <w:bottom w:w="0" w:type="dxa"/>
            <w:right w:w="108" w:type="dxa"/>
          </w:tblCellMar>
        </w:tblPrEx>
        <w:trPr>
          <w:trHeight w:val="675" w:hRule="atLeast"/>
        </w:trPr>
        <w:tc>
          <w:tcPr>
            <w:tcW w:w="1634" w:type="dxa"/>
            <w:gridSpan w:val="2"/>
            <w:vMerge w:val="continue"/>
            <w:tcBorders>
              <w:top w:val="nil"/>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7"/>
            <w:tcBorders>
              <w:top w:val="nil"/>
              <w:left w:val="single" w:color="auto"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 xml:space="preserve">单位公章：   年   月   日    </w:t>
            </w:r>
          </w:p>
        </w:tc>
      </w:tr>
    </w:tbl>
    <w:p/>
    <w:p>
      <w:pPr>
        <w:widowControl/>
        <w:rPr>
          <w:rFonts w:ascii="仿宋_GB2312"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xYjlkNzgyOGU3NzMxNDE2ZWJiZThkNzIzMDA1ZTYifQ=="/>
  </w:docVars>
  <w:rsids>
    <w:rsidRoot w:val="62E502C3"/>
    <w:rsid w:val="1A867491"/>
    <w:rsid w:val="1AB03212"/>
    <w:rsid w:val="1FBE68D8"/>
    <w:rsid w:val="62E502C3"/>
    <w:rsid w:val="678D4947"/>
    <w:rsid w:val="7A9C3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2023-11-06T10:12:00Z</dcterms:created>
  <dc:creator>叶贝</dc:creator>
  <cp:lastModifiedBy>芬达气泡</cp:lastModifiedBy>
  <cp:lastPrinted>2023-11-08T08:10:26Z</cp:lastPrinted>
  <dcterms:modified xsi:type="dcterms:W3CDTF">2023-11-08T08:11:37Z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303488BBB5EE4C0BA5638D437D362A94_13</vt:lpwstr>
  </property>
</Properties>
</file>